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Care to Know. Know to Care.</w:t>
      </w:r>
      <w:r w:rsidDel="00000000" w:rsidR="00000000" w:rsidRPr="00000000">
        <w:rPr>
          <w:rtl w:val="0"/>
        </w:rPr>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Derek Townsend, CEO</w:t>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Hopeful Change</w:t>
      </w:r>
    </w:p>
    <w:p w:rsidR="00000000" w:rsidDel="00000000" w:rsidP="00000000" w:rsidRDefault="00000000" w:rsidRPr="00000000" w14:paraId="00000004">
      <w:pPr>
        <w:rPr/>
      </w:pPr>
      <w:r w:rsidDel="00000000" w:rsidR="00000000" w:rsidRPr="00000000">
        <w:rPr>
          <w:rFonts w:ascii="Calibri" w:cs="Calibri" w:eastAsia="Calibri" w:hAnsi="Calibri"/>
          <w:color w:val="000000"/>
          <w:rtl w:val="0"/>
        </w:rPr>
        <w:t xml:space="preserve">“</w:t>
      </w:r>
      <w:r w:rsidDel="00000000" w:rsidR="00000000" w:rsidRPr="00000000">
        <w:rPr>
          <w:rtl w:val="0"/>
        </w:rPr>
        <w:t xml:space="preserve">A lot of times people don't care how much you know until they know how much you care. And when we look at the impact that we want to have, we want to be able to create a platform that raises awareness, butalso provides the tools that are necessary to overcome the obstacles that our communities are facing whenyou look at ACEs, overdose, and suicide.</w:t>
      </w:r>
      <w:r w:rsidDel="00000000" w:rsidR="00000000" w:rsidRPr="00000000">
        <w:rPr>
          <w:rtl w:val="0"/>
        </w:rPr>
        <w:t xml:space="preserve">”</w:t>
      </w:r>
    </w:p>
    <w:p w:rsidR="00000000" w:rsidDel="00000000" w:rsidP="00000000" w:rsidRDefault="00000000" w:rsidRPr="00000000" w14:paraId="00000005">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color w:val="000000"/>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8FGi3ogHNgsrpF7qXuHTCi5mg==">CgMxLjA4AHIhMXlFNC1RMUxTMzZPeUExeDFkdUdueFFiOGt3cThRSWpf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